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XmlProperties+xml" PartName="/customXML/itemProps1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240" w:before="240" w:line="36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PARECER JURÍDICO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 – RELATÓRIO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Trata-se de análise da necessidade e legalidade da contratação da Associação Mineira de Municípios (AMM) para a realização de publicações oficiais do Consórcio Intermunicipal Multifinalitário dos Municípios do Vale do Itapecerica (CIMMVI) em seu diário oficial. A questão surgiu diante da negativa da AMM em permitir que as publicações do consórcio fossem realizadas por intermédio do município de Divinópolis, o qual possui o maior número de habitantes entre os entes consorciados (conforme comunicações em anexo).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presente parecer examinará os fundamentos legais e contratuais para tal contratação, a inexigibilidade de licitação para a hipótese e a conformidade da despesa com os princípios da administração pública.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II – FUNDAMENTAÇÃO JURÍDICA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24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Obrigatoriedade das Publicações Oficiais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legislação aplicável estabelece a necessidade de publicação de editais de licitação e atos administrativos em veículos de ampla divulgação. O art. 54 da Lei n. 14.133/2021 dispõe que:</w:t>
      </w:r>
    </w:p>
    <w:p w:rsidR="00000000" w:rsidDel="00000000" w:rsidP="00000000" w:rsidRDefault="00000000" w:rsidRPr="00000000" w14:paraId="00000009">
      <w:pPr>
        <w:spacing w:after="240" w:before="240" w:line="360" w:lineRule="auto"/>
        <w:ind w:left="600" w:right="600" w:firstLine="0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A publicidade do edital de licitação será realizada mediante divulgação e manutenção do inteiro teor do ato convocatório e de seus anexos no Portal Nacional de Contratações Públicas (PNCP).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Ainda, seu § 1º determina a obrigatoriedade da publicação de extrato do edital no Diário Oficial da União, do Estado, do Distrito Federal ou do Município, ou,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 caso de consórcio público, </w:t>
      </w: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no ente de maior nível entre eles</w:t>
      </w:r>
      <w:r w:rsidDel="00000000" w:rsidR="00000000" w:rsidRPr="00000000">
        <w:rPr>
          <w:rFonts w:ascii="Arial" w:cs="Arial" w:eastAsia="Arial" w:hAnsi="Arial"/>
          <w:rtl w:val="0"/>
        </w:rPr>
        <w:t xml:space="preserve">, bem como em jornal diário de grande circulação.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Determinações Específicas do Estatuto do CIMMVI e do Contrato de Consórcio</w:t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Estatuto do CIMMVI e o Contrato de Consórcio reforçam a exigência de publicação das licitações e demais atos administrativos relevantes. O art. 62 do Estatuto do CIMMVI dispõe que:</w:t>
      </w:r>
    </w:p>
    <w:p w:rsidR="00000000" w:rsidDel="00000000" w:rsidP="00000000" w:rsidRDefault="00000000" w:rsidRPr="00000000" w14:paraId="0000000D">
      <w:pPr>
        <w:spacing w:after="240" w:before="240" w:line="360" w:lineRule="auto"/>
        <w:ind w:left="600" w:right="600" w:firstLine="0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As contratações do Consórcio obedecerão às leis gerais de licitações e contratos administrativos.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Além disso, seu § 2º estabelece que:</w:t>
      </w:r>
    </w:p>
    <w:p w:rsidR="00000000" w:rsidDel="00000000" w:rsidP="00000000" w:rsidRDefault="00000000" w:rsidRPr="00000000" w14:paraId="0000000F">
      <w:pPr>
        <w:spacing w:after="240" w:before="240" w:line="360" w:lineRule="auto"/>
        <w:ind w:left="600" w:right="600" w:firstLine="0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Todos os editais de licitação deverão ser publicados na sede do CIMMVI e na imprensa oficial, salvo no caso de convite.</w:t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mesmo sentido, a Cláusula Trigésima Segunda do Contrato de Consórcio CIMMVI dispõe:</w:t>
      </w:r>
    </w:p>
    <w:p w:rsidR="00000000" w:rsidDel="00000000" w:rsidP="00000000" w:rsidRDefault="00000000" w:rsidRPr="00000000" w14:paraId="00000011">
      <w:pPr>
        <w:spacing w:after="240" w:before="240" w:line="360" w:lineRule="auto"/>
        <w:ind w:left="600" w:right="60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Protocolo de Intenções, o Contrato de Consórcio e suas alterações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deverão ser publicados na imprensa oficial do </w:t>
      </w: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município com maior número de habitantes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entre os consorciados.</w:t>
      </w:r>
    </w:p>
    <w:p w:rsidR="00000000" w:rsidDel="00000000" w:rsidP="00000000" w:rsidRDefault="00000000" w:rsidRPr="00000000" w14:paraId="00000012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Artigo 79 do Estatuto do CIMMVI reforça esta disposição:</w:t>
      </w:r>
    </w:p>
    <w:p w:rsidR="00000000" w:rsidDel="00000000" w:rsidP="00000000" w:rsidRDefault="00000000" w:rsidRPr="00000000" w14:paraId="00000013">
      <w:pPr>
        <w:spacing w:after="240" w:before="240" w:line="360" w:lineRule="auto"/>
        <w:ind w:left="600" w:right="60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presente Estatuto vigorará a partir de sua publicação no site do CIMMVI e na </w:t>
      </w: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imprensa oficial do município de maior número de habitantes</w:t>
      </w:r>
      <w:r w:rsidDel="00000000" w:rsidR="00000000" w:rsidRPr="00000000">
        <w:rPr>
          <w:rFonts w:ascii="Arial" w:cs="Arial" w:eastAsia="Arial" w:hAnsi="Arial"/>
          <w:rtl w:val="0"/>
        </w:rPr>
        <w:t xml:space="preserve"> entre os entes consorciados.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Impossibilidade de Publicação via Município de Maior Número de Habitantes</w:t>
      </w:r>
    </w:p>
    <w:p w:rsidR="00000000" w:rsidDel="00000000" w:rsidP="00000000" w:rsidRDefault="00000000" w:rsidRPr="00000000" w14:paraId="00000015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negativa formal da AMM quanto à possibilidade de o Consórcio realizar suas publicações oficiais por intermédio do município de Divinópolis impõe a necessidade de buscar alternativa que atenda às exigências normativas. Diante desse cenário, verifica-se que a AMM é a entidade competente para realizar as publicações necessárias, visto que administra um diário oficial com validade reconhecida.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Inexigibilidade de Licitação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contratação direta, sem a realização de licitação, para a execução do serviço de publicação dos atos oficiais do CIMMVI no Diário Oficial da AMM, encontra respaldo nos dispositivos normativos vigentes e na doutrina que rege a matéria. A Lei n. 14.133/2021, que estabelece o novo regime jurídico das licitações e contratos administrativos, em seu artigo 74, disciplina os casos de inexigibilidade de licitação, dispondo que:</w:t>
      </w:r>
    </w:p>
    <w:p w:rsidR="00000000" w:rsidDel="00000000" w:rsidP="00000000" w:rsidRDefault="00000000" w:rsidRPr="00000000" w14:paraId="00000018">
      <w:pPr>
        <w:spacing w:after="240" w:before="240" w:line="360" w:lineRule="auto"/>
        <w:ind w:left="600" w:right="600" w:firstLine="0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É inexigível a licitação quando inviável a competição, em especial nos casos de [...]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redação do dispositivo emprega a expressão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“em especial”</w:t>
      </w:r>
      <w:r w:rsidDel="00000000" w:rsidR="00000000" w:rsidRPr="00000000">
        <w:rPr>
          <w:rFonts w:ascii="Arial" w:cs="Arial" w:eastAsia="Arial" w:hAnsi="Arial"/>
          <w:rtl w:val="0"/>
        </w:rPr>
        <w:t xml:space="preserve">, o que revela a intenção do legislador de não restringir os casos de inexigibilidade a um rol taxativo, mas sim de estabelecer um elenco meramente exemplificativo de hipóteses em que a concorrência entre eventuais fornecedores se torna inviável. Dessa forma, é possível concluir que a norma admite outras situações além das expressamente indicadas, desde que se comprove a inviabilidade de competição no caso concreto.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presente contexto, verifica-se que há efetiva inviabilidade de competição, pois o serviço de publicação dos atos administrativos do CIMMVI deve obrigatoriamente ocorrer em um Diário Oficial que atenda aos critérios estabelecidos pela legislação e pelo próprio contrato de consórcio. De acordo com o Estatuto e o Contrato de Consórcio do CIMMVI, os atos administrativos do consórcio devem ser publicados no Diário Oficial do município com maior número de habitantes entre os consorciados, o que, por sua vez, recai sobre o Município de Divinópolis/MG.</w:t>
      </w:r>
    </w:p>
    <w:p w:rsidR="00000000" w:rsidDel="00000000" w:rsidP="00000000" w:rsidRDefault="00000000" w:rsidRPr="00000000" w14:paraId="0000001B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Entretanto, diante da negativa da AMM quanto à possibilidade de publicação por intermédio do Município de Divinópolis, tornou-se necessário buscar uma solução que atendesse às exigências normativas. A única alternativa viável dentro do ordenamento jurídico é a contratação direta da AMM para a realização das publicações no Diário Oficial sob sua administração, pois essa entidade é a única que pode garantir a conformidade com as disposições legais e estatutárias do CIMMVI.</w:t>
      </w:r>
    </w:p>
    <w:p w:rsidR="00000000" w:rsidDel="00000000" w:rsidP="00000000" w:rsidRDefault="00000000" w:rsidRPr="00000000" w14:paraId="0000001C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Além disso, é importante ressaltar que a prestação desse tipo de serviço possui características técnicas e normativas específicas, que inviabilizam a concorrência ampla. A publicação oficial de atos administrativos não pode ser realizada por qualquer veículo de comunicação, mas sim apenas por um órgão oficial de imprensa pública que possua reconhecimento e validade legal para esse fim. Sendo a AMM a única entidade responsável pela administração do Diário Oficial capaz de atender às exigências normativas do consórcio, resta configurada a inexigibilidade de licitação, conforme previsto no artigo 74 da Lei n. 14.133/2021.</w:t>
      </w:r>
    </w:p>
    <w:p w:rsidR="00000000" w:rsidDel="00000000" w:rsidP="00000000" w:rsidRDefault="00000000" w:rsidRPr="00000000" w14:paraId="0000001D">
      <w:pPr>
        <w:spacing w:after="240" w:before="240" w:line="360" w:lineRule="auto"/>
        <w:jc w:val="both"/>
        <w:rPr>
          <w:rFonts w:ascii="Arial" w:cs="Arial" w:eastAsia="Arial" w:hAnsi="Arial"/>
        </w:rPr>
      </w:pP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Arial" w:cs="Arial" w:eastAsia="Arial" w:hAnsi="Arial"/>
          <w:rtl w:val="0"/>
        </w:rPr>
        <w:t xml:space="preserve">Ademais, o próprio Tribunal de Contas da União (TCU), em diversas manifestações, já consolidou entendimento no sentido de que a singularidade do objeto e a impossibilidade de competição são critérios fundamentais para o reconhecimento da inexigibilidade de licitação. No caso em questão, não há outro ente ou instituição que possa oferecer o serviço requerido com a mesma legitimidade e conformidade normativa que a AMM, reforçando a necessidade da contratação direta.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Outro ponto relevante a ser destacado é a economicidade da contratação direta em comparação com outras possíveis soluções. A AMM já dispõe da estrutura necessária para a execução do serviço e, por tratar-se de uma entidade que atua no interesse dos municípios, os custos para a publicação são significativamente inferiores aos praticados por diários oficiais mantidos por entidades federais e estaduais, conforme documento de estimativa de despsa. Assim, além da justificativa legal, há também forte argumento sob o prisma da gestão eficiente dos recursos públicos, evitando-se gastos desnecessários e garantindo o atendimento às exigências legais de forma célere e eficaz.</w:t>
      </w:r>
    </w:p>
    <w:p w:rsidR="00000000" w:rsidDel="00000000" w:rsidP="00000000" w:rsidRDefault="00000000" w:rsidRPr="00000000" w14:paraId="0000001F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Portanto, a contratação direta da AMM para a realização das publicações do CIMMVI não só se encontra plenamente respaldada na legislação vigente, como também se apresenta como a solução mais adequada sob os princípios da eficiência, da economicidade e da segurança jurídica.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Razoabilidade dos Preços e 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tabela apresentada evidencia a grande flutuação dos preços no elemento de despesa correspondente à edição e impressão em diários oficiais. A proposta apresentada pela AMM revela-se compatível com os preços praticados por entes públicos, garantindo a economicidade e a razoabilidade da contratação.</w:t>
      </w:r>
    </w:p>
    <w:p w:rsidR="00000000" w:rsidDel="00000000" w:rsidP="00000000" w:rsidRDefault="00000000" w:rsidRPr="00000000" w14:paraId="00000022">
      <w:pPr>
        <w:spacing w:after="240" w:before="240"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III – CONCLUSÃO</w:t>
      </w:r>
    </w:p>
    <w:p w:rsidR="00000000" w:rsidDel="00000000" w:rsidP="00000000" w:rsidRDefault="00000000" w:rsidRPr="00000000" w14:paraId="00000023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Diante do exposto, conclui-se que: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before="24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publicação dos atos administrativos do CIMMVI no Diário Oficial é obrigatória e deve ocorrer no ente de maior nível entre os consorciados, conforme determinado pela legislação federal, pelo Estatuto e pelo Contrato de Consórcio.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negativa da AMM quanto à possibilidade de publicação via município de Divinópolis impõe a necessidade de contratação direta do serviço de publicação por meio da própria AMM, dado ser este o meio oficial de publicação do Município de Divinópolis.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Há, assim, diante da determinação legal, inviabilidade de competição, tornando inexigível a licitação para a contratação do serviço de publicação oficial pela AMM, nos termos do art. 74 da Lei n. 14.133/2021.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24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contratação direta da AMM se mostra a solução juridicamente adequada e economicamente razoável para atender à exigência de publicidade dos atos do CIMMVI.</w:t>
      </w:r>
    </w:p>
    <w:p w:rsidR="00000000" w:rsidDel="00000000" w:rsidP="00000000" w:rsidRDefault="00000000" w:rsidRPr="00000000" w14:paraId="00000028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Assim, recomenda-se a formalização da contratação direta da AMM para a publicação dos atos oficiais do CIMMVI, nos moldes da legislação vigente.</w:t>
      </w:r>
    </w:p>
    <w:p w:rsidR="00000000" w:rsidDel="00000000" w:rsidP="00000000" w:rsidRDefault="00000000" w:rsidRPr="00000000" w14:paraId="00000029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É o parecer, s.m.j.</w:t>
      </w:r>
    </w:p>
    <w:p w:rsidR="00000000" w:rsidDel="00000000" w:rsidP="00000000" w:rsidRDefault="00000000" w:rsidRPr="00000000" w14:paraId="0000002A">
      <w:pPr>
        <w:spacing w:after="240" w:before="240"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Divinópolis, 11 de fevereiro de 2025</w:t>
      </w:r>
    </w:p>
    <w:p w:rsidR="00000000" w:rsidDel="00000000" w:rsidP="00000000" w:rsidRDefault="00000000" w:rsidRPr="00000000" w14:paraId="0000002B">
      <w:pPr>
        <w:spacing w:after="24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2E">
      <w:pPr>
        <w:spacing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Eduardo Araújo Freitas</w:t>
      </w:r>
    </w:p>
    <w:p w:rsidR="00000000" w:rsidDel="00000000" w:rsidP="00000000" w:rsidRDefault="00000000" w:rsidRPr="00000000" w14:paraId="0000002F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Assessor Jurídico</w:t>
      </w:r>
    </w:p>
    <w:p w:rsidR="00000000" w:rsidDel="00000000" w:rsidP="00000000" w:rsidRDefault="00000000" w:rsidRPr="00000000" w14:paraId="00000030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OAB.MG 232.651</w:t>
      </w:r>
    </w:p>
    <w:p w:rsidR="00000000" w:rsidDel="00000000" w:rsidP="00000000" w:rsidRDefault="00000000" w:rsidRPr="00000000" w14:paraId="00000031">
      <w:pPr>
        <w:spacing w:after="240" w:before="240" w:line="360" w:lineRule="auto"/>
        <w:jc w:val="center"/>
        <w:rPr/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CIMMVI" w:id="0" w:date="2025-02-03T20:31:47Z"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Citar acórdão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46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8425196851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rsid w:val="00EA3333"/>
    <w:rPr>
      <w:rFonts w:ascii="Ecofont_Spranq_eco_Sans" w:cs="Tahoma" w:hAnsi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2"/>
    </w:pPr>
    <w:rPr>
      <w:rFonts w:asciiTheme="majorHAnsi" w:cstheme="majorBidi" w:eastAsiaTheme="majorEastAsia" w:hAnsiTheme="majorHAnsi"/>
      <w:color w:val="243f60" w:themeColor="accent1" w:themeShade="00007F"/>
      <w:lang w:eastAsia="en-US"/>
    </w:rPr>
  </w:style>
  <w:style w:type="paragraph" w:styleId="Ttulo4">
    <w:name w:val="heading 4"/>
    <w:basedOn w:val="Normal"/>
    <w:next w:val="Normal"/>
    <w:link w:val="Ttulo4Char"/>
    <w:semiHidden w:val="1"/>
    <w:unhideWhenUsed w:val="1"/>
    <w:qFormat w:val="1"/>
    <w:rsid w:val="00A45A85"/>
    <w:pPr>
      <w:keepNext w:val="1"/>
      <w:keepLines w:val="1"/>
      <w:spacing w:before="40"/>
      <w:outlineLvl w:val="3"/>
    </w:pPr>
    <w:rPr>
      <w:rFonts w:asciiTheme="majorHAnsi" w:cstheme="majorBidi" w:eastAsiaTheme="majorEastAsia" w:hAnsiTheme="majorHAnsi"/>
      <w:i w:val="1"/>
      <w:iCs w:val="1"/>
      <w:color w:val="365f91" w:themeColor="accent1" w:themeShade="0000BF"/>
    </w:rPr>
  </w:style>
  <w:style w:type="paragraph" w:styleId="Ttulo6">
    <w:name w:val="heading 6"/>
    <w:basedOn w:val="Normal"/>
    <w:next w:val="Normal"/>
    <w:link w:val="Ttulo6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5"/>
    </w:pPr>
    <w:rPr>
      <w:rFonts w:asciiTheme="majorHAnsi" w:cstheme="majorBidi" w:eastAsiaTheme="majorEastAsia" w:hAnsiTheme="majorHAnsi"/>
      <w:color w:val="243f60" w:themeColor="accent1" w:themeShade="00007F"/>
      <w:sz w:val="22"/>
      <w:szCs w:val="22"/>
      <w:lang w:eastAsia="en-US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link w:val="PargrafodaListaChar"/>
    <w:uiPriority w:val="34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 w:val="1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qFormat w:val="1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  <w:pPr>
      <w:numPr>
        <w:numId w:val="3"/>
      </w:numPr>
    </w:pPr>
  </w:style>
  <w:style w:type="numbering" w:styleId="Estilo2" w:customStyle="1">
    <w:name w:val="Estilo2"/>
    <w:uiPriority w:val="99"/>
    <w:rsid w:val="00A72B79"/>
    <w:pPr>
      <w:numPr>
        <w:numId w:val="4"/>
      </w:numPr>
    </w:pPr>
  </w:style>
  <w:style w:type="numbering" w:styleId="Estilo3" w:customStyle="1">
    <w:name w:val="Estilo3"/>
    <w:uiPriority w:val="99"/>
    <w:rsid w:val="00A72B79"/>
    <w:pPr>
      <w:numPr>
        <w:numId w:val="5"/>
      </w:numPr>
    </w:pPr>
  </w:style>
  <w:style w:type="numbering" w:styleId="Estilo4" w:customStyle="1">
    <w:name w:val="Estilo4"/>
    <w:uiPriority w:val="99"/>
    <w:rsid w:val="0054016D"/>
    <w:pPr>
      <w:numPr>
        <w:numId w:val="6"/>
      </w:numPr>
    </w:pPr>
  </w:style>
  <w:style w:type="numbering" w:styleId="Estilo5" w:customStyle="1">
    <w:name w:val="Estilo5"/>
    <w:uiPriority w:val="99"/>
    <w:rsid w:val="0054016D"/>
    <w:pPr>
      <w:numPr>
        <w:numId w:val="7"/>
      </w:numPr>
    </w:pPr>
  </w:style>
  <w:style w:type="numbering" w:styleId="Estilo6" w:customStyle="1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 w:val="1"/>
    <w:qFormat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qFormat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Ttulo1"/>
    <w:next w:val="Normal"/>
    <w:link w:val="Nivel01Char"/>
    <w:qFormat w:val="1"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cs="Arial" w:hAnsi="Arial"/>
      <w:color w:val="auto"/>
      <w:sz w:val="20"/>
      <w:szCs w:val="20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7136D9"/>
    <w:rPr>
      <w:rFonts w:ascii="Arial" w:cs="Arial" w:hAnsi="Arial" w:eastAsiaTheme="majorEastAsia"/>
      <w:b w:val="1"/>
      <w:bCs w:val="1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7F77A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1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qFormat w:val="1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szCs w:val="24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cs="Arial" w:hAnsi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 w:val="28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" w:customStyle="1">
    <w:name w:val="Nivel 2"/>
    <w:basedOn w:val="Normal"/>
    <w:link w:val="Nivel2Char"/>
    <w:qFormat w:val="1"/>
    <w:rsid w:val="00681F9B"/>
    <w:pPr>
      <w:numPr>
        <w:ilvl w:val="1"/>
        <w:numId w:val="1"/>
      </w:numPr>
      <w:spacing w:after="120" w:before="120" w:line="276" w:lineRule="auto"/>
      <w:jc w:val="both"/>
    </w:pPr>
    <w:rPr>
      <w:rFonts w:ascii="Arial" w:cs="Arial" w:hAnsi="Arial"/>
      <w:color w:val="000000"/>
      <w:sz w:val="20"/>
      <w:szCs w:val="20"/>
    </w:rPr>
  </w:style>
  <w:style w:type="paragraph" w:styleId="Nivel10" w:customStyle="1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" w:customStyle="1">
    <w:name w:val="Nivel 3"/>
    <w:basedOn w:val="Normal"/>
    <w:link w:val="Nivel3Char"/>
    <w:qFormat w:val="1"/>
    <w:rsid w:val="007B1E53"/>
    <w:pPr>
      <w:numPr>
        <w:ilvl w:val="2"/>
        <w:numId w:val="1"/>
      </w:numPr>
      <w:spacing w:after="120" w:before="120" w:line="276" w:lineRule="auto"/>
      <w:ind w:left="3198"/>
      <w:jc w:val="both"/>
    </w:pPr>
    <w:rPr>
      <w:rFonts w:ascii="Arial" w:cs="Arial" w:hAnsi="Arial"/>
      <w:color w:val="000000"/>
      <w:sz w:val="20"/>
      <w:szCs w:val="20"/>
    </w:rPr>
  </w:style>
  <w:style w:type="paragraph" w:styleId="Nivel4" w:customStyle="1">
    <w:name w:val="Nivel 4"/>
    <w:basedOn w:val="Nivel3"/>
    <w:link w:val="Nivel4Char"/>
    <w:qFormat w:val="1"/>
    <w:rsid w:val="007B1E53"/>
    <w:pPr>
      <w:numPr>
        <w:ilvl w:val="3"/>
      </w:numPr>
      <w:ind w:left="851" w:firstLine="0"/>
    </w:pPr>
    <w:rPr>
      <w:color w:val="auto"/>
    </w:rPr>
  </w:style>
  <w:style w:type="paragraph" w:styleId="Nivel5" w:customStyle="1">
    <w:name w:val="Nivel 5"/>
    <w:basedOn w:val="Nivel4"/>
    <w:qFormat w:val="1"/>
    <w:rsid w:val="007B1E53"/>
    <w:pPr>
      <w:numPr>
        <w:ilvl w:val="4"/>
      </w:numPr>
      <w:ind w:left="1276" w:firstLine="0"/>
    </w:pPr>
  </w:style>
  <w:style w:type="character" w:styleId="Nivel4Char" w:customStyle="1">
    <w:name w:val="Nivel 4 Char"/>
    <w:basedOn w:val="Fontepargpadro"/>
    <w:link w:val="Nivel4"/>
    <w:rsid w:val="007B1E53"/>
    <w:rPr>
      <w:rFonts w:ascii="Arial" w:cs="Arial" w:hAnsi="Arial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ascii="Ecofont_Spranq_eco_Sans" w:cs="Tahoma" w:eastAsia="Times New Roman" w:hAnsi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 w:val="24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Char" w:customStyle="1">
    <w:name w:val="Nivel 2 Char"/>
    <w:basedOn w:val="Fontepargpadro"/>
    <w:link w:val="Nivel2"/>
    <w:locked w:val="1"/>
    <w:rsid w:val="00A831D9"/>
    <w:rPr>
      <w:rFonts w:ascii="Arial" w:cs="Arial" w:hAnsi="Arial"/>
      <w:color w:val="000000"/>
      <w:lang w:eastAsia="pt-BR"/>
    </w:rPr>
  </w:style>
  <w:style w:type="paragraph" w:styleId="Nvel2Opcional" w:customStyle="1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1"/>
      <w:noProof w:val="1"/>
      <w:color w:val="ff0000"/>
    </w:rPr>
  </w:style>
  <w:style w:type="paragraph" w:styleId="Nvel3Opcional" w:customStyle="1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qFormat w:val="1"/>
    <w:rsid w:val="00D14643"/>
    <w:pPr>
      <w:spacing w:after="60" w:before="60" w:line="259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u w:val="single"/>
    </w:rPr>
  </w:style>
  <w:style w:type="character" w:styleId="ouChar" w:customStyle="1">
    <w:name w:val="ou Char"/>
    <w:basedOn w:val="PargrafodaListaChar"/>
    <w:link w:val="ou"/>
    <w:rsid w:val="00D14643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u w:val="single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2-Red" w:customStyle="1">
    <w:name w:val="Nível 2 -Red"/>
    <w:basedOn w:val="Nivel2"/>
    <w:link w:val="Nvel2-RedChar"/>
    <w:qFormat w:val="1"/>
    <w:rsid w:val="00F83142"/>
    <w:rPr>
      <w:i w:val="1"/>
      <w:iCs w:val="1"/>
      <w:color w:val="ff0000"/>
    </w:rPr>
  </w:style>
  <w:style w:type="paragraph" w:styleId="Nvel3-R" w:customStyle="1">
    <w:name w:val="Nível 3-R"/>
    <w:basedOn w:val="Nivel3"/>
    <w:link w:val="Nvel3-RChar"/>
    <w:qFormat w:val="1"/>
    <w:rsid w:val="00D42AFB"/>
    <w:rPr>
      <w:i w:val="1"/>
      <w:iCs w:val="1"/>
      <w:color w:val="ff0000"/>
    </w:rPr>
  </w:style>
  <w:style w:type="character" w:styleId="Nvel2-RedChar" w:customStyle="1">
    <w:name w:val="Nível 2 -Red Char"/>
    <w:basedOn w:val="Nivel2Char"/>
    <w:link w:val="Nvel2-Red"/>
    <w:rsid w:val="00F83142"/>
    <w:rPr>
      <w:rFonts w:ascii="Arial" w:cs="Arial" w:hAnsi="Arial"/>
      <w:i w:val="1"/>
      <w:iCs w:val="1"/>
      <w:color w:val="ff0000"/>
      <w:lang w:eastAsia="pt-BR"/>
    </w:rPr>
  </w:style>
  <w:style w:type="paragraph" w:styleId="Nvel4-R" w:customStyle="1">
    <w:name w:val="Nível 4-R"/>
    <w:basedOn w:val="Nivel4"/>
    <w:link w:val="Nvel4-RChar"/>
    <w:qFormat w:val="1"/>
    <w:rsid w:val="00031DBE"/>
    <w:pPr>
      <w:ind w:left="2491" w:hanging="648"/>
    </w:pPr>
    <w:rPr>
      <w:i w:val="1"/>
      <w:iCs w:val="1"/>
      <w:color w:val="ff0000"/>
    </w:rPr>
  </w:style>
  <w:style w:type="character" w:styleId="Nivel3Char" w:customStyle="1">
    <w:name w:val="Nivel 3 Char"/>
    <w:basedOn w:val="Fontepargpadro"/>
    <w:link w:val="Nivel3"/>
    <w:rsid w:val="007B1E53"/>
    <w:rPr>
      <w:rFonts w:ascii="Arial" w:cs="Arial" w:hAnsi="Arial"/>
      <w:color w:val="000000"/>
      <w:lang w:eastAsia="pt-BR"/>
    </w:rPr>
  </w:style>
  <w:style w:type="character" w:styleId="Nvel3-RChar" w:customStyle="1">
    <w:name w:val="Nível 3-R Char"/>
    <w:basedOn w:val="Nivel3Char"/>
    <w:link w:val="Nvel3-R"/>
    <w:rsid w:val="00D42AFB"/>
    <w:rPr>
      <w:rFonts w:ascii="Arial" w:cs="Arial" w:hAnsi="Arial"/>
      <w:i w:val="1"/>
      <w:iCs w:val="1"/>
      <w:color w:val="ff0000"/>
      <w:lang w:eastAsia="pt-BR"/>
    </w:rPr>
  </w:style>
  <w:style w:type="paragraph" w:styleId="Nvel1-SemNum" w:customStyle="1">
    <w:name w:val="Nível 1-Sem Num"/>
    <w:basedOn w:val="Nivel01"/>
    <w:link w:val="Nvel1-SemNumChar"/>
    <w:qFormat w:val="1"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styleId="Nvel4-RChar" w:customStyle="1">
    <w:name w:val="Nível 4-R Char"/>
    <w:basedOn w:val="Nivel4Char"/>
    <w:link w:val="Nvel4-R"/>
    <w:rsid w:val="00031DBE"/>
    <w:rPr>
      <w:rFonts w:ascii="Arial" w:cs="Arial" w:hAnsi="Arial"/>
      <w:i w:val="1"/>
      <w:iCs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E7273B"/>
    <w:rPr>
      <w:rFonts w:ascii="Arial" w:cs="Arial" w:hAnsi="Arial" w:eastAsiaTheme="majorEastAsia"/>
      <w:b w:val="1"/>
      <w:bCs w:val="1"/>
      <w:color w:val="ff0000"/>
      <w:spacing w:val="5"/>
      <w:kern w:val="28"/>
      <w:sz w:val="52"/>
      <w:szCs w:val="52"/>
      <w:lang w:eastAsia="pt-BR"/>
    </w:rPr>
  </w:style>
  <w:style w:type="paragraph" w:styleId="citao2" w:customStyle="1">
    <w:name w:val="citação 2"/>
    <w:basedOn w:val="Citao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qFormat w:val="1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E27AEB"/>
    <w:rPr>
      <w:color w:val="605e5c"/>
      <w:shd w:color="auto" w:fill="e1dfdd" w:val="clear"/>
    </w:rPr>
  </w:style>
  <w:style w:type="character" w:styleId="MenoPendente6" w:customStyle="1">
    <w:name w:val="Menção Pendente6"/>
    <w:basedOn w:val="Fontepargpadro"/>
    <w:uiPriority w:val="99"/>
    <w:semiHidden w:val="1"/>
    <w:unhideWhenUsed w:val="1"/>
    <w:rsid w:val="00F40730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348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header" Target="header2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2IHbL2sJa7KmwWjl3dYMR3o9ig==">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2024-08-09T00:12:00Z</dcterms:created>
</cp:coreProperties>
</file>